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5D46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jdgxs" w:colFirst="0" w:colLast="0"/>
      <w:bookmarkEnd w:id="0"/>
    </w:p>
    <w:p w14:paraId="5EA32ECE" w14:textId="3F0B5459" w:rsidR="00706054" w:rsidRPr="0057322A" w:rsidRDefault="00F21B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Temeljem Programa rada za 202</w:t>
      </w:r>
      <w:r w:rsidR="00A32F67" w:rsidRPr="0057322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i/>
          <w:iCs/>
          <w:sz w:val="24"/>
          <w:szCs w:val="24"/>
        </w:rPr>
        <w:t>. godinu, Turistička zajednica grada Šibenika objavljuje</w:t>
      </w:r>
    </w:p>
    <w:p w14:paraId="35476FBA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095F2B6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38CF62C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CCEFD2" w14:textId="77777777" w:rsidR="00706054" w:rsidRPr="0057322A" w:rsidRDefault="00F21BD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JAVNI POZIV</w:t>
      </w:r>
    </w:p>
    <w:p w14:paraId="1E190C1B" w14:textId="77777777" w:rsidR="00706054" w:rsidRPr="0057322A" w:rsidRDefault="00F21BD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Za kandidiranje manifestacija za dodjelu potpora iz programa</w:t>
      </w:r>
    </w:p>
    <w:p w14:paraId="41F21FDB" w14:textId="5D4FA84C" w:rsidR="00706054" w:rsidRPr="0057322A" w:rsidRDefault="00F21BD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„Potpore za turističke manifestacije“ u </w:t>
      </w:r>
      <w:r w:rsidR="00ED1C84" w:rsidRPr="0057322A"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A32F67" w:rsidRPr="0057322A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. godini</w:t>
      </w:r>
    </w:p>
    <w:p w14:paraId="00BCE94F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A4F1985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92E865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9EA5144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D3C912C" w14:textId="77777777" w:rsidR="00706054" w:rsidRPr="0057322A" w:rsidRDefault="00F21BD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I. Predmet Javnog poziva</w:t>
      </w:r>
    </w:p>
    <w:p w14:paraId="6799F4F0" w14:textId="77777777" w:rsidR="00706054" w:rsidRPr="0057322A" w:rsidRDefault="00706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567E9F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Predmet Javnog poziva je dodjela bespovratnih novčanih sredstava Turističke zajednice grada Šibenika (dalje u tekstu: TZGŠ) za manifestacije od lokalnog, regionalnog, nacionalnog i/ili međunarodnog značaja, kao glavnog motiva dolaska turista u destinaciju, a koje doprinose slijedećim ciljevima:</w:t>
      </w:r>
    </w:p>
    <w:p w14:paraId="49444EA9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8A8C60" w14:textId="77777777" w:rsidR="00706054" w:rsidRPr="0057322A" w:rsidRDefault="00F21BD5" w:rsidP="00ED1C84">
      <w:pPr>
        <w:pStyle w:val="Odlomakpopis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razvoju turizma, te kulturne i povijesne baštine,</w:t>
      </w:r>
    </w:p>
    <w:p w14:paraId="4A3816B1" w14:textId="77777777" w:rsidR="00706054" w:rsidRPr="0057322A" w:rsidRDefault="00F21BD5" w:rsidP="00ED1C84">
      <w:pPr>
        <w:pStyle w:val="Odlomakpopis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podizanju kvalitete i količine turističke ponude,</w:t>
      </w:r>
    </w:p>
    <w:p w14:paraId="64CB59A4" w14:textId="77777777" w:rsidR="00706054" w:rsidRPr="0057322A" w:rsidRDefault="00F21BD5" w:rsidP="00ED1C84">
      <w:pPr>
        <w:pStyle w:val="Odlomakpopis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razvoju kongresnog, kulturnog, sportskog i ostalih selektivnih oblika turizma,</w:t>
      </w:r>
    </w:p>
    <w:p w14:paraId="683AE482" w14:textId="77777777" w:rsidR="00706054" w:rsidRPr="0057322A" w:rsidRDefault="00F21BD5" w:rsidP="00ED1C84">
      <w:pPr>
        <w:pStyle w:val="Odlomakpopis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razvoju sadržaja koji omogućuju poboljšanje kvalitete i produženje turističke sezone,</w:t>
      </w:r>
    </w:p>
    <w:p w14:paraId="365D39B3" w14:textId="77777777" w:rsidR="00706054" w:rsidRPr="0057322A" w:rsidRDefault="00F21BD5" w:rsidP="00ED1C84">
      <w:pPr>
        <w:pStyle w:val="Odlomakpopis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promocija grada Šibenika u zemlji i inozemstvu,</w:t>
      </w:r>
    </w:p>
    <w:p w14:paraId="317B6623" w14:textId="77777777" w:rsidR="00706054" w:rsidRPr="0057322A" w:rsidRDefault="00F21BD5" w:rsidP="00ED1C84">
      <w:pPr>
        <w:pStyle w:val="Odlomakpopis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stvaranju prepoznatljivog imidža turizma grada Šibenika.</w:t>
      </w:r>
    </w:p>
    <w:p w14:paraId="660A2BF2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44DDF3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Sredstva potpore odobrit će se za organizaciju i realizaciju:</w:t>
      </w:r>
    </w:p>
    <w:p w14:paraId="0003707F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FF7AFA" w14:textId="77777777" w:rsidR="00706054" w:rsidRPr="0057322A" w:rsidRDefault="00F21BD5" w:rsidP="00ED1C8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Kulturnih manifestacija,</w:t>
      </w:r>
    </w:p>
    <w:p w14:paraId="4A1D7D32" w14:textId="77777777" w:rsidR="00706054" w:rsidRPr="0057322A" w:rsidRDefault="00F21BD5" w:rsidP="00ED1C8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Zabavnih manifestacija,</w:t>
      </w:r>
    </w:p>
    <w:p w14:paraId="6858CD8D" w14:textId="77777777" w:rsidR="00706054" w:rsidRPr="0057322A" w:rsidRDefault="00F21BD5" w:rsidP="00ED1C8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Sportskih manifestacija,</w:t>
      </w:r>
    </w:p>
    <w:p w14:paraId="31D28F69" w14:textId="77777777" w:rsidR="00706054" w:rsidRPr="0057322A" w:rsidRDefault="00F21BD5" w:rsidP="00ED1C8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Eno-gastronomskih manifestacija</w:t>
      </w:r>
    </w:p>
    <w:p w14:paraId="75D48C47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167787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F45A12" w14:textId="0C1E8743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Proračunska sredstva po ovom javnom pozivu iznose </w:t>
      </w:r>
      <w:r w:rsidR="001674C7" w:rsidRPr="0057322A">
        <w:rPr>
          <w:rFonts w:ascii="Times New Roman" w:hAnsi="Times New Roman" w:cs="Times New Roman"/>
          <w:b/>
          <w:i/>
          <w:iCs/>
          <w:sz w:val="24"/>
          <w:szCs w:val="24"/>
        </w:rPr>
        <w:t>90</w:t>
      </w: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.000,00 eura</w:t>
      </w:r>
    </w:p>
    <w:p w14:paraId="77305142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II. Namjena sredstava</w:t>
      </w:r>
    </w:p>
    <w:p w14:paraId="13AA4053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7260A3" w14:textId="1AD797D0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Bespovratna sredstva potpore mogu se dodijeliti i koristiti isključivo za manifestacije koje se održavaju u 202</w:t>
      </w:r>
      <w:r w:rsidR="001674C7" w:rsidRPr="0057322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i/>
          <w:iCs/>
          <w:sz w:val="24"/>
          <w:szCs w:val="24"/>
        </w:rPr>
        <w:t>. godini. Sredstva su namijenjena za sufinanciranje troškova nabave roba i usluga za neposrednu realizaciju manifestacija i to:</w:t>
      </w:r>
    </w:p>
    <w:p w14:paraId="0FF1EE56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5117A8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sufinanciranje održavanja manifestacije (troškovi glazbenika, troškovi tehnike, troškovi promocije manifestacije, troškovi učesnika u manifestaciji, ostali troškovi),</w:t>
      </w:r>
    </w:p>
    <w:p w14:paraId="75056DA2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izrada promotivnih brošura i promocija manifestacije na internetu,</w:t>
      </w:r>
    </w:p>
    <w:p w14:paraId="6C4BC561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nabava radnog/potrošnog materijala vezanog za organizaciju manifestacije,</w:t>
      </w:r>
    </w:p>
    <w:p w14:paraId="31DFF8E0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najam prostora za održavanje manifestacije,</w:t>
      </w:r>
    </w:p>
    <w:p w14:paraId="785B6CBC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troškovi smještaja, te putni troškovi izvođača i vanjskih suradnika, temeljem ugovora,</w:t>
      </w:r>
    </w:p>
    <w:p w14:paraId="66674D73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druge potrebe u svrhu održavanja manifestacije.</w:t>
      </w:r>
    </w:p>
    <w:p w14:paraId="24131703" w14:textId="77777777" w:rsidR="00706054" w:rsidRPr="0057322A" w:rsidRDefault="00706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B668697" w14:textId="77777777" w:rsidR="00706054" w:rsidRPr="0057322A" w:rsidRDefault="00706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74600AE" w14:textId="77777777" w:rsidR="00706054" w:rsidRPr="0057322A" w:rsidRDefault="00F21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Bespovratna sredstva potpore </w:t>
      </w:r>
      <w:r w:rsidRPr="0057322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ne mogu</w:t>
      </w: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 dodijeliti i koristiti za:</w:t>
      </w:r>
    </w:p>
    <w:p w14:paraId="53950B65" w14:textId="77777777" w:rsidR="00706054" w:rsidRPr="0057322A" w:rsidRDefault="00706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7E30905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kupnju nekretnina (objekata i zemljišta), te prijevoznih sredstava,</w:t>
      </w:r>
    </w:p>
    <w:p w14:paraId="7BDDCACC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14:paraId="06B9E6FA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izradu studija, elaborata, projektne i druge dokumentacije,</w:t>
      </w:r>
    </w:p>
    <w:p w14:paraId="24DEC9D5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manifestacije koje se isključivo odnose na jednokratno održavanje kao konferencije, okrugli stolovi, seminari, proslave obljetnica, izleti i hodočašća.</w:t>
      </w:r>
    </w:p>
    <w:p w14:paraId="11F1AF06" w14:textId="77777777" w:rsidR="00706054" w:rsidRPr="0057322A" w:rsidRDefault="00F21B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sve druge troškove koji nisu vezani za realizaciju kandidirane manifestacije.</w:t>
      </w:r>
    </w:p>
    <w:p w14:paraId="7FD426F5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8E78489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4D4353E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0B4B36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III. Korisnici sredstava</w:t>
      </w:r>
    </w:p>
    <w:p w14:paraId="68513F97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001700E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Za sredstva potpore mogu se kandidirati pravne i fizičke osobe (dalje u tekstu: Organizator) i to: </w:t>
      </w:r>
    </w:p>
    <w:p w14:paraId="223487A7" w14:textId="77777777" w:rsidR="00706054" w:rsidRPr="0057322A" w:rsidRDefault="00F21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Trgovačka društva</w:t>
      </w:r>
    </w:p>
    <w:p w14:paraId="5444DED8" w14:textId="77777777" w:rsidR="00706054" w:rsidRPr="0057322A" w:rsidRDefault="00F21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Obrti</w:t>
      </w:r>
    </w:p>
    <w:p w14:paraId="7125E1C0" w14:textId="77777777" w:rsidR="00706054" w:rsidRPr="0057322A" w:rsidRDefault="00F21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Sportski klubovi</w:t>
      </w:r>
    </w:p>
    <w:p w14:paraId="5552886C" w14:textId="77777777" w:rsidR="00706054" w:rsidRPr="0057322A" w:rsidRDefault="00F21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Kulturne i druge javne ustanove</w:t>
      </w:r>
    </w:p>
    <w:p w14:paraId="5A4872DF" w14:textId="77777777" w:rsidR="00706054" w:rsidRPr="0057322A" w:rsidRDefault="00F21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Udruge </w:t>
      </w:r>
    </w:p>
    <w:p w14:paraId="286BB479" w14:textId="77777777" w:rsidR="00706054" w:rsidRPr="0057322A" w:rsidRDefault="00F21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Umjetničke organizacije</w:t>
      </w:r>
    </w:p>
    <w:p w14:paraId="46F7492B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BECDD7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Za potporu za pojedinu manifestaciju se može kandidirati samo Organizator manifestacije,  koji u cijelosti organizira manifestaciju za koju traži potporu.</w:t>
      </w:r>
    </w:p>
    <w:p w14:paraId="0DEB7512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F6DD5A" w14:textId="77777777" w:rsidR="00706054" w:rsidRPr="0057322A" w:rsidRDefault="00F21B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Za potpore se ne mogu kandidirati Organizatori koji su dužnici plaćanja boravišne pristojbe i/ili turističke članarine, te Organizatori, koji nisu uspjeli ishoditi potvrdu nadležne Porezne uprave o nepostojanju duga Organizatora prema državi .</w:t>
      </w:r>
    </w:p>
    <w:p w14:paraId="459686CF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ABE871F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Svaki organizator ima pravo na ovaj poziv poslati najviše (2) prijave za sufinanciranje određene manifestacije.</w:t>
      </w:r>
    </w:p>
    <w:p w14:paraId="3A527486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84CFE5E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IV. Prihvatljivost troškova</w:t>
      </w:r>
    </w:p>
    <w:p w14:paraId="0CC70CC8" w14:textId="77777777" w:rsidR="00706054" w:rsidRPr="0057322A" w:rsidRDefault="00706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4B4203B6" w14:textId="73369908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TZGŠ može Organizatoru odobriti potporu do maksimalno 30% opravdanih/prihvatljivih troškova manifestacij</w:t>
      </w:r>
      <w:r w:rsidR="00AC7F40" w:rsidRPr="0057322A">
        <w:rPr>
          <w:rFonts w:ascii="Times New Roman" w:hAnsi="Times New Roman" w:cs="Times New Roman"/>
          <w:i/>
          <w:iCs/>
          <w:sz w:val="24"/>
          <w:szCs w:val="24"/>
        </w:rPr>
        <w:t>e.</w:t>
      </w:r>
    </w:p>
    <w:p w14:paraId="3E9539A7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Odluka o ukupnom iznosu novčanih sredstava putem Javnog poziva za sufinanciranje manifestacija ovisi o broju i kvaliteti pristiglih prijava, te raspoloživom budžetu</w:t>
      </w:r>
      <w:r w:rsidRPr="0057322A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7DD1A204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6E41784C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B0FDC2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03E8F3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0C7438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V. Kriteriji za odobravanje potpora TZGŠ</w:t>
      </w:r>
    </w:p>
    <w:p w14:paraId="0ED335D4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7C4CECF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Kriteriji za odobravanje potpora TZGŠ su:</w:t>
      </w:r>
    </w:p>
    <w:p w14:paraId="343EB3A7" w14:textId="77777777" w:rsidR="00706054" w:rsidRPr="0057322A" w:rsidRDefault="00F21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originalnost, prepoznatljivost i kvaliteta,</w:t>
      </w:r>
    </w:p>
    <w:p w14:paraId="647EE4BC" w14:textId="77777777" w:rsidR="00706054" w:rsidRPr="0057322A" w:rsidRDefault="00F21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doprinos projekta razvoju turističke ponude grada Šibenika</w:t>
      </w:r>
    </w:p>
    <w:p w14:paraId="7319DCAE" w14:textId="77777777" w:rsidR="00706054" w:rsidRPr="0057322A" w:rsidRDefault="00F21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karakter manifestacije (sastav izvođača – domaći i/ili inozemni ),</w:t>
      </w:r>
    </w:p>
    <w:p w14:paraId="4233FDFD" w14:textId="77777777" w:rsidR="00706054" w:rsidRPr="0057322A" w:rsidRDefault="00F21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vrijeme i mjesto održavanja manifestacija (otvoreni javni prostor – trgovi, ulice i dr.), </w:t>
      </w:r>
    </w:p>
    <w:p w14:paraId="5FA3B9A3" w14:textId="77777777" w:rsidR="00706054" w:rsidRPr="0057322A" w:rsidRDefault="00F21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tradicija održavanja manifestacije /održivost – dugoročni učinci</w:t>
      </w:r>
    </w:p>
    <w:p w14:paraId="27157D2E" w14:textId="77777777" w:rsidR="00706054" w:rsidRPr="0057322A" w:rsidRDefault="00F21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izvori financiranja manifestacija, odnosno njihovo sufinanciranje i od strane drugih subjekata.</w:t>
      </w:r>
    </w:p>
    <w:p w14:paraId="7E7014D0" w14:textId="77777777" w:rsidR="00706054" w:rsidRPr="0057322A" w:rsidRDefault="00F21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sudjelovanje interesnih subjekata javnog i privatnog sektora u organizaciji i realizaciji manifestacije,</w:t>
      </w:r>
    </w:p>
    <w:p w14:paraId="2CDB7E3A" w14:textId="77777777" w:rsidR="00706054" w:rsidRPr="0057322A" w:rsidRDefault="00F21B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zastupljenost u domaćim i stranim medijima,</w:t>
      </w:r>
    </w:p>
    <w:p w14:paraId="7B864AE9" w14:textId="77777777" w:rsidR="00706054" w:rsidRPr="0057322A" w:rsidRDefault="00706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9F4D6A9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DC01B6" w14:textId="77777777" w:rsidR="00706054" w:rsidRPr="0057322A" w:rsidRDefault="00F21B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U svim vrstama slikovnog oglašavanja te tiskanja promidžbenih materijala, osim na radiju, organizator događanja je u oglasu u obvezi objaviti logo TZ grada Šibenika.  Ukoliko događaj ima svoj profil na društvenim mrežama, potrebno je u tekstu / captionu u svakoj od objava navesti službene </w:t>
      </w: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hashtagove TZG Šibenika #visitsibenik i #lovesibenik</w:t>
      </w: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433A87AC" w14:textId="77777777" w:rsidR="00706054" w:rsidRPr="0057322A" w:rsidRDefault="00F21B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Ukoliko se vrši kampanja na društvenim mrežama, potrebno je u tekstu oglasa koristiti </w:t>
      </w: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hashtagove  #visitsibenik  i #lovesibenik</w:t>
      </w: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 . Link za preuzimanje loga sastavni je dio natječajne dokumentacije stranici TZ grada Šibenika. </w:t>
      </w:r>
    </w:p>
    <w:p w14:paraId="3773A255" w14:textId="77777777" w:rsidR="00706054" w:rsidRPr="0057322A" w:rsidRDefault="00F21BD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277057" w14:textId="77777777" w:rsidR="00706054" w:rsidRPr="0057322A" w:rsidRDefault="00F21BD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FF0000"/>
          <w:sz w:val="24"/>
          <w:szCs w:val="24"/>
        </w:rPr>
        <w:t>Korisnik potpore dužan je TZGŠ dostavljati PR materijale manifestacije (foto i video materijale te PR članke) s ciljem promocije na kanalima TZGŠ.</w:t>
      </w:r>
    </w:p>
    <w:p w14:paraId="060DB52B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56EBD3E3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</w:rPr>
        <w:t>Link za preuzimanje nalazi se pod „Aktualnosti“ na web stranici TZ grada Šibenika.</w:t>
      </w:r>
      <w:r w:rsidRPr="0057322A">
        <w:rPr>
          <w:rFonts w:ascii="Times New Roman" w:hAnsi="Times New Roman" w:cs="Times New Roman"/>
          <w:i/>
          <w:iCs/>
        </w:rPr>
        <w:t xml:space="preserve"> </w:t>
      </w:r>
    </w:p>
    <w:p w14:paraId="302C9E2E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BD2812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VI. Potrebna dokumentacija</w:t>
      </w:r>
    </w:p>
    <w:p w14:paraId="05B720D2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D72C971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Za kandidiranje manifestacija za dodjelu potpore TZGŠ  Organizator mora dostaviti:</w:t>
      </w:r>
    </w:p>
    <w:p w14:paraId="17A6D3E3" w14:textId="67065EB4" w:rsidR="00706054" w:rsidRPr="0057322A" w:rsidRDefault="00F21B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obrazac zahtjeva „PM-202</w:t>
      </w:r>
      <w:r w:rsidR="001674C7"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</w:t>
      </w: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“ koji je sastavni dio Javnog poziva (objavljenog na web stranici </w:t>
      </w:r>
      <w:hyperlink r:id="rId7">
        <w:r w:rsidR="00706054" w:rsidRPr="0057322A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www.visitsibenik.hr</w:t>
        </w:r>
      </w:hyperlink>
    </w:p>
    <w:p w14:paraId="761B6B27" w14:textId="77777777" w:rsidR="00706054" w:rsidRPr="0057322A" w:rsidRDefault="00F21B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dokaz o pravnom statusu Organizatora manifestacije (preslika izvoda iz trgovačkog, obrtnog ili drugog odgovarajućeg registra),</w:t>
      </w:r>
    </w:p>
    <w:p w14:paraId="14EAA025" w14:textId="77777777" w:rsidR="00706054" w:rsidRPr="0057322A" w:rsidRDefault="00F21B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5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potvrdu nadležne Porezne uprave o nepostojanju duga Organizatora prema državi (ovaj dokaz ne smije biti stariji od 30 dana od dana objave ovog natječaja),</w:t>
      </w:r>
    </w:p>
    <w:p w14:paraId="080E715A" w14:textId="77777777" w:rsidR="00706054" w:rsidRPr="0057322A" w:rsidRDefault="00F21B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5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Program događanja i troškovnik – opisni i kronološki sadržaj s listom izvođača/sudionika</w:t>
      </w:r>
    </w:p>
    <w:p w14:paraId="2D1F4F3B" w14:textId="1EA6572E" w:rsidR="00706054" w:rsidRPr="0057322A" w:rsidRDefault="00F21B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5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Obrazac privole za obradu osobnih podataka koji se koriste pri obradi natječajne dokumentacije. Potpisuju ga osobe  čiji se podatci upisuju u PM-202</w:t>
      </w:r>
      <w:r w:rsidR="001674C7"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</w:t>
      </w:r>
    </w:p>
    <w:p w14:paraId="252F537E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A2C013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TZGŠ zadržava pravo od Organizatora manifestacije zatražiti dodatna pojašnjenja zahtjeva, kao i dodatnu dokumentaciju, koju smatra potrebnom za kvalitetno donošenje odluke o dodjeli sredstava potpore.</w:t>
      </w:r>
    </w:p>
    <w:p w14:paraId="35AF4E54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5CB38D" w14:textId="77777777" w:rsidR="00706054" w:rsidRPr="0057322A" w:rsidRDefault="00F21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Kandidature s nepotpunom dokumentacijom i nepotpuno ispunjenim obrascem iz Javnog poziva neće se razmatrati.</w:t>
      </w:r>
    </w:p>
    <w:p w14:paraId="7C60E330" w14:textId="77777777" w:rsidR="00706054" w:rsidRPr="0057322A" w:rsidRDefault="00F21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Kandidature koje se neće razmatrati:</w:t>
      </w:r>
    </w:p>
    <w:p w14:paraId="2BF8A6C5" w14:textId="77777777" w:rsidR="00706054" w:rsidRPr="0057322A" w:rsidRDefault="00F21B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kandidature s nepotpunom dokumentacijom iz točke VI.</w:t>
      </w:r>
    </w:p>
    <w:p w14:paraId="7D2290A1" w14:textId="77777777" w:rsidR="00706054" w:rsidRPr="0057322A" w:rsidRDefault="00F21B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kandidature s nepotpuno ispunjenim  obrascem</w:t>
      </w:r>
    </w:p>
    <w:p w14:paraId="3213721E" w14:textId="77777777" w:rsidR="00706054" w:rsidRPr="0057322A" w:rsidRDefault="00F21B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kandidature pristigle nakon roka.</w:t>
      </w:r>
    </w:p>
    <w:p w14:paraId="2F0DA5AB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9995083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9B27EB1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FB3229E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VII. Postupak realizacije programa</w:t>
      </w:r>
    </w:p>
    <w:p w14:paraId="7643EAD3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694A248" w14:textId="255D5EA8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O zahtjevima pristiglim na Javni poziv raspravlja Vijeće Turističke zajednice grada Šibenika koje ujedno i donosi Odluku o raspodjeli sredstava iz Programa potpore turističkim manifestacijama u 202</w:t>
      </w:r>
      <w:r w:rsidR="001674C7" w:rsidRPr="0057322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. godini. </w:t>
      </w:r>
    </w:p>
    <w:p w14:paraId="2F2260ED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ED237C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S korisnicima se sklapa Ugovor o namjenskom korištenju sredstava, kojim se reguliraju međusobna prava i obveze.</w:t>
      </w:r>
    </w:p>
    <w:p w14:paraId="28773F83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CC5AE9" w14:textId="641D60E1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Popis korisnika s odobrenim iznosom i namjenom dodijeljenih sredstava biti će objavljen na internetskim stranicama Turističke zajednice grada Šibenika </w:t>
      </w:r>
      <w:hyperlink r:id="rId8">
        <w:r w:rsidR="00706054" w:rsidRPr="0057322A">
          <w:rPr>
            <w:rFonts w:ascii="Times New Roman" w:hAnsi="Times New Roman" w:cs="Times New Roman"/>
            <w:i/>
            <w:iCs/>
            <w:color w:val="0000FF"/>
            <w:u w:val="single"/>
          </w:rPr>
          <w:t>www.visitsibenik.hr</w:t>
        </w:r>
      </w:hyperlink>
      <w:r w:rsidRPr="0057322A">
        <w:rPr>
          <w:rFonts w:ascii="Times New Roman" w:hAnsi="Times New Roman" w:cs="Times New Roman"/>
          <w:i/>
          <w:iCs/>
        </w:rPr>
        <w:t xml:space="preserve"> </w:t>
      </w: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neposredno nakon </w:t>
      </w:r>
      <w:r w:rsidR="001674C7"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održane </w:t>
      </w:r>
      <w:r w:rsidRPr="0057322A">
        <w:rPr>
          <w:rFonts w:ascii="Times New Roman" w:hAnsi="Times New Roman" w:cs="Times New Roman"/>
          <w:i/>
          <w:iCs/>
          <w:sz w:val="24"/>
          <w:szCs w:val="24"/>
        </w:rPr>
        <w:t xml:space="preserve"> sjednice Turističkog vijeća TZGŠ u 202</w:t>
      </w:r>
      <w:r w:rsidR="001674C7" w:rsidRPr="0057322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i/>
          <w:iCs/>
          <w:sz w:val="24"/>
          <w:szCs w:val="24"/>
        </w:rPr>
        <w:t>. godini.</w:t>
      </w:r>
    </w:p>
    <w:p w14:paraId="17C859B7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267661" w14:textId="3791C289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TZG Šibenika zadržava pravo poništavanja Javnog poziva za dodjelu potpora za turističke manifestacije u 202</w:t>
      </w:r>
      <w:r w:rsidR="001674C7" w:rsidRPr="0057322A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6</w:t>
      </w:r>
      <w:r w:rsidRPr="0057322A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. godini kao i isplate odobrenih sredstava potpore temeljem odluke Turističkog vijeća TZG  Šibenika. U slučaju nepredviđenih okolnosti  TZG Šibenika također zadržava pravo poništavanja Javnog poziva za dodjelu potpora za turističke manifestacije u 202</w:t>
      </w:r>
      <w:r w:rsidR="001674C7" w:rsidRPr="0057322A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6</w:t>
      </w:r>
      <w:r w:rsidRPr="0057322A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. godini.</w:t>
      </w:r>
    </w:p>
    <w:p w14:paraId="6A986138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D69674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VIII. Rok i način podnošenja kandidature</w:t>
      </w:r>
    </w:p>
    <w:p w14:paraId="2D56DCAC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5C8820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Organizatori manifestacije, kandidaturu s cjelokupnom dokumentacijom  podnose Turističkoj zajednici grada Šibenika.</w:t>
      </w:r>
    </w:p>
    <w:p w14:paraId="10DF2512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9DD750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Kandidature se šalju u zatvorenoj omotnici s naznakama „Javni poziv za potpore manifestacijama – ne otvaraj“.</w:t>
      </w:r>
    </w:p>
    <w:p w14:paraId="515A059B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595FA95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Kandidature se šalju na adresu:</w:t>
      </w:r>
    </w:p>
    <w:p w14:paraId="65BACF7D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AB6D270" w14:textId="77777777" w:rsidR="00706054" w:rsidRPr="0057322A" w:rsidRDefault="00F21BD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Turistička zajednica grada Šibenika</w:t>
      </w:r>
    </w:p>
    <w:p w14:paraId="62B3FF55" w14:textId="77777777" w:rsidR="00706054" w:rsidRPr="0057322A" w:rsidRDefault="00F21BD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Fausta Vrančića 18</w:t>
      </w:r>
    </w:p>
    <w:p w14:paraId="2E574841" w14:textId="77777777" w:rsidR="00706054" w:rsidRPr="0057322A" w:rsidRDefault="00F21BD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22 000 Šibenik</w:t>
      </w:r>
    </w:p>
    <w:p w14:paraId="657BC06D" w14:textId="77777777" w:rsidR="00706054" w:rsidRPr="0057322A" w:rsidRDefault="007060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91F521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75E389" w14:textId="3368CC93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Rok podnošenja kandidature je  0</w:t>
      </w:r>
      <w:r w:rsidR="001674C7" w:rsidRPr="0057322A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.03.202</w:t>
      </w:r>
      <w:r w:rsidR="0057322A" w:rsidRPr="0057322A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. godine  ( u obzir dolaze i kandidature s datumom otpreme pošte od 0</w:t>
      </w:r>
      <w:r w:rsidR="001674C7" w:rsidRPr="0057322A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.03.202</w:t>
      </w:r>
      <w:r w:rsidR="0057322A" w:rsidRPr="0057322A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t>.)</w:t>
      </w:r>
    </w:p>
    <w:p w14:paraId="66A6AB80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30E3833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38EC92D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7C8BC95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AF77612" w14:textId="77777777" w:rsidR="00706054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1834608" w14:textId="77777777" w:rsidR="00B70DE4" w:rsidRPr="0057322A" w:rsidRDefault="00B70DE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279777F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8E9E66E" w14:textId="77777777" w:rsidR="00706054" w:rsidRPr="0057322A" w:rsidRDefault="00F21B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" w:name="_30j0zll" w:colFirst="0" w:colLast="0"/>
      <w:bookmarkEnd w:id="1"/>
      <w:r w:rsidRPr="0057322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IX. Način isplate potpore</w:t>
      </w:r>
    </w:p>
    <w:p w14:paraId="1039D2A6" w14:textId="77777777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552D5C2" w14:textId="77777777" w:rsidR="00706054" w:rsidRPr="0057322A" w:rsidRDefault="00F21BD5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rPr>
          <w:rFonts w:ascii="Times New Roman" w:hAnsi="Times New Roman" w:cs="Times New Roman"/>
          <w:i/>
          <w:iCs/>
        </w:rPr>
      </w:pPr>
      <w:r w:rsidRPr="0057322A">
        <w:rPr>
          <w:rFonts w:ascii="Times New Roman" w:hAnsi="Times New Roman" w:cs="Times New Roman"/>
          <w:i/>
          <w:iCs/>
          <w:sz w:val="24"/>
          <w:szCs w:val="24"/>
        </w:rPr>
        <w:t>TZGŠ će do 30% od ukupno odobrenog iznosa potpore moći doznačiti organizatoru neposredno prije početka projekta dok će ostatak doznačiti nakon realizacije manifestacije i po primitku izvješća o utrošenim sredstvima utvrđene ugovorom</w:t>
      </w:r>
      <w:r w:rsidRPr="0057322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25DF2532" w14:textId="77777777" w:rsidR="00706054" w:rsidRPr="0057322A" w:rsidRDefault="00F21B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TZGŠ će odobrena sredstva potpore doznačiti organizatoru na žiro račun nakon realizacije manifestacije i po primitku Izvješća o utrošenim sredstvima uz popratnu dokumentaciju (foto i/ili druga dokumentacija kojom se dokazuje realizacija manifestacije, korištenje loga TZ grada Šibenika u oglasima, korištenje službenih hashtagova  TZG Šibenika #visitsibenik i #lovesibenik na društvenim profilima, preslike računa ili ugovora s dobavljačima za isporučene proizvode i/ili obavljene usluge s potvrdama o izvršenom plaćanju istih).</w:t>
      </w:r>
    </w:p>
    <w:p w14:paraId="7CA2A359" w14:textId="76F29293" w:rsidR="00706054" w:rsidRPr="0057322A" w:rsidRDefault="00F21B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Rok za dostavu Izvješća o utrošenim sredstvima te ostale vjerodostojne dokumentacije - dokaznica o održanoj manifestaciji/projektu, a za isplatu odobrenih sredstava je </w:t>
      </w:r>
      <w:r w:rsidR="002C3A80"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01.10.202</w:t>
      </w:r>
      <w:r w:rsidR="00690096"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="002C3A80"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osim za manifestacije koje se održavaju nakon tog datuma. Krajnji rok za predaju izvješća za manifestacije koje se održavaju iza 01.10. je 15. siječnja 202</w:t>
      </w:r>
      <w:r w:rsidR="00690096"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</w:t>
      </w:r>
      <w:r w:rsidR="002C3A80"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AC7F40"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Zahtjevi za isplatom sredstava izvan navedenih rokova neće biti uvaženi, te sredstva neće biti uplaćena ( a </w:t>
      </w:r>
      <w:r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ukoliko</w:t>
      </w:r>
      <w:r w:rsidR="00AC7F40"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je prije </w:t>
      </w:r>
      <w:r w:rsidRPr="005732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realizacije projekta isplaćeno 30%  - organizator se obvezuje izvršiti povrat sredstava).</w:t>
      </w:r>
    </w:p>
    <w:p w14:paraId="06618E06" w14:textId="77777777" w:rsidR="00706054" w:rsidRPr="0057322A" w:rsidRDefault="00F21B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5732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TZGŠ zadržava pravo nadzora svake održane manifestacije s ciljem ocjene kvalitete i uspješnosti programa u odnosu na dostavljene prijave. Ukoliko TZG Šibenika utvrdi nepravilnosti u korištenju potpore, moguće su promjene u isplatama odobrenih sredstava i povrat sredstava u cijelosti temeljem Odluke TZGŠ.</w:t>
      </w:r>
    </w:p>
    <w:p w14:paraId="679241A3" w14:textId="77777777" w:rsidR="00706054" w:rsidRPr="0057322A" w:rsidRDefault="00706054">
      <w:pPr>
        <w:shd w:val="clear" w:color="auto" w:fill="FFFFFF"/>
        <w:spacing w:after="0" w:line="240" w:lineRule="auto"/>
        <w:ind w:left="600"/>
        <w:rPr>
          <w:rFonts w:ascii="Times New Roman" w:eastAsia="Helvetica Neue" w:hAnsi="Times New Roman" w:cs="Times New Roman"/>
          <w:i/>
          <w:iCs/>
          <w:color w:val="FF0000"/>
          <w:sz w:val="21"/>
          <w:szCs w:val="21"/>
        </w:rPr>
      </w:pPr>
    </w:p>
    <w:p w14:paraId="70ECF2AA" w14:textId="77777777" w:rsidR="00706054" w:rsidRPr="0057322A" w:rsidRDefault="00F21BD5">
      <w:pPr>
        <w:shd w:val="clear" w:color="auto" w:fill="FFFFFF"/>
        <w:ind w:left="600"/>
        <w:rPr>
          <w:rFonts w:ascii="Times New Roman" w:eastAsia="Helvetica Neue" w:hAnsi="Times New Roman" w:cs="Times New Roman"/>
          <w:i/>
          <w:iCs/>
          <w:color w:val="FF0000"/>
          <w:sz w:val="21"/>
          <w:szCs w:val="21"/>
          <w:u w:val="single"/>
        </w:rPr>
      </w:pPr>
      <w:r w:rsidRPr="0057322A">
        <w:rPr>
          <w:rFonts w:ascii="Times New Roman" w:eastAsia="Helvetica Neue" w:hAnsi="Times New Roman" w:cs="Times New Roman"/>
          <w:i/>
          <w:iCs/>
          <w:color w:val="FF0000"/>
          <w:sz w:val="21"/>
          <w:szCs w:val="21"/>
          <w:u w:val="single"/>
        </w:rPr>
        <w:t>Obrazac s izvješćem o utrošenim sredstvima se nalazi na linku pod „Aktualnosti“ na web stranici TZ grada Šibenika</w:t>
      </w:r>
    </w:p>
    <w:p w14:paraId="3FA69749" w14:textId="49FDE15B" w:rsidR="00706054" w:rsidRPr="0057322A" w:rsidRDefault="007060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696F8" w14:textId="77777777" w:rsidR="00706054" w:rsidRDefault="00706054">
      <w:pPr>
        <w:spacing w:after="0" w:line="240" w:lineRule="auto"/>
        <w:jc w:val="right"/>
        <w:rPr>
          <w:sz w:val="24"/>
          <w:szCs w:val="24"/>
        </w:rPr>
      </w:pPr>
    </w:p>
    <w:p w14:paraId="18DAA4ED" w14:textId="77777777" w:rsidR="00706054" w:rsidRDefault="00706054">
      <w:pPr>
        <w:spacing w:after="0" w:line="240" w:lineRule="auto"/>
        <w:jc w:val="right"/>
        <w:rPr>
          <w:sz w:val="24"/>
          <w:szCs w:val="24"/>
        </w:rPr>
      </w:pPr>
    </w:p>
    <w:p w14:paraId="16F5E341" w14:textId="77777777" w:rsidR="00706054" w:rsidRPr="00B70DE4" w:rsidRDefault="00F21BD5">
      <w:pPr>
        <w:spacing w:after="0" w:line="240" w:lineRule="auto"/>
        <w:ind w:left="5664"/>
        <w:rPr>
          <w:b/>
          <w:i/>
          <w:iCs/>
          <w:sz w:val="24"/>
          <w:szCs w:val="24"/>
        </w:rPr>
      </w:pPr>
      <w:r w:rsidRPr="00B70DE4">
        <w:rPr>
          <w:b/>
          <w:i/>
          <w:iCs/>
          <w:sz w:val="24"/>
          <w:szCs w:val="24"/>
        </w:rPr>
        <w:t>Direktor TZ grada Šibenika</w:t>
      </w:r>
    </w:p>
    <w:p w14:paraId="721BEF34" w14:textId="77777777" w:rsidR="00706054" w:rsidRPr="00B70DE4" w:rsidRDefault="00706054">
      <w:pPr>
        <w:spacing w:after="0" w:line="240" w:lineRule="auto"/>
        <w:jc w:val="right"/>
        <w:rPr>
          <w:b/>
          <w:i/>
          <w:iCs/>
          <w:sz w:val="24"/>
          <w:szCs w:val="24"/>
        </w:rPr>
      </w:pPr>
    </w:p>
    <w:p w14:paraId="34B49FBE" w14:textId="77777777" w:rsidR="00706054" w:rsidRPr="00B70DE4" w:rsidRDefault="00F21BD5">
      <w:pPr>
        <w:spacing w:after="0" w:line="240" w:lineRule="auto"/>
        <w:ind w:left="4248"/>
        <w:jc w:val="center"/>
        <w:rPr>
          <w:b/>
          <w:i/>
          <w:iCs/>
          <w:sz w:val="24"/>
          <w:szCs w:val="24"/>
        </w:rPr>
      </w:pPr>
      <w:r w:rsidRPr="00B70DE4">
        <w:rPr>
          <w:b/>
          <w:i/>
          <w:iCs/>
          <w:sz w:val="24"/>
          <w:szCs w:val="24"/>
        </w:rPr>
        <w:t xml:space="preserve">              Dino Karađole</w:t>
      </w:r>
    </w:p>
    <w:p w14:paraId="10610DA0" w14:textId="77777777" w:rsidR="00706054" w:rsidRPr="00B70DE4" w:rsidRDefault="00706054">
      <w:pPr>
        <w:spacing w:after="0" w:line="240" w:lineRule="auto"/>
        <w:ind w:left="4248"/>
        <w:jc w:val="center"/>
        <w:rPr>
          <w:b/>
          <w:i/>
          <w:iCs/>
          <w:sz w:val="24"/>
          <w:szCs w:val="24"/>
        </w:rPr>
      </w:pPr>
    </w:p>
    <w:p w14:paraId="76545F2E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1DD4606C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7783DAAF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18696868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1ED728F0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3F4A39C8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1D978925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597521F6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7DA4CC2E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3639FD8B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69C088A6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1A472944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3706CAD4" w14:textId="77777777" w:rsidR="00706054" w:rsidRDefault="00706054">
      <w:pPr>
        <w:spacing w:after="0" w:line="240" w:lineRule="auto"/>
        <w:ind w:left="4248"/>
        <w:jc w:val="center"/>
        <w:rPr>
          <w:b/>
          <w:sz w:val="24"/>
          <w:szCs w:val="24"/>
        </w:rPr>
      </w:pPr>
    </w:p>
    <w:p w14:paraId="1A9FF88A" w14:textId="77777777" w:rsidR="00706054" w:rsidRDefault="00706054">
      <w:pPr>
        <w:spacing w:after="0" w:line="240" w:lineRule="auto"/>
        <w:ind w:left="2124" w:firstLine="707"/>
        <w:jc w:val="right"/>
        <w:rPr>
          <w:sz w:val="24"/>
          <w:szCs w:val="24"/>
        </w:rPr>
      </w:pPr>
    </w:p>
    <w:p w14:paraId="060E9197" w14:textId="77777777" w:rsidR="00706054" w:rsidRDefault="00706054">
      <w:pPr>
        <w:spacing w:after="0" w:line="240" w:lineRule="auto"/>
        <w:ind w:left="2124" w:firstLine="707"/>
      </w:pPr>
    </w:p>
    <w:sectPr w:rsidR="00706054">
      <w:headerReference w:type="default" r:id="rId9"/>
      <w:pgSz w:w="11906" w:h="16838"/>
      <w:pgMar w:top="1417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3ECB" w14:textId="77777777" w:rsidR="00ED5CB5" w:rsidRDefault="00ED5CB5">
      <w:pPr>
        <w:spacing w:after="0" w:line="240" w:lineRule="auto"/>
      </w:pPr>
      <w:r>
        <w:separator/>
      </w:r>
    </w:p>
  </w:endnote>
  <w:endnote w:type="continuationSeparator" w:id="0">
    <w:p w14:paraId="0B52CE33" w14:textId="77777777" w:rsidR="00ED5CB5" w:rsidRDefault="00ED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CC9E" w14:textId="77777777" w:rsidR="00ED5CB5" w:rsidRDefault="00ED5CB5">
      <w:pPr>
        <w:spacing w:after="0" w:line="240" w:lineRule="auto"/>
      </w:pPr>
      <w:r>
        <w:separator/>
      </w:r>
    </w:p>
  </w:footnote>
  <w:footnote w:type="continuationSeparator" w:id="0">
    <w:p w14:paraId="1D0FA733" w14:textId="77777777" w:rsidR="00ED5CB5" w:rsidRDefault="00ED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2EB6" w14:textId="77777777" w:rsidR="00706054" w:rsidRDefault="00F21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A4B8E33" wp14:editId="4F9B06CE">
          <wp:extent cx="1572652" cy="7962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652" cy="796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98"/>
    <w:multiLevelType w:val="hybridMultilevel"/>
    <w:tmpl w:val="9EF803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B3908"/>
    <w:multiLevelType w:val="multilevel"/>
    <w:tmpl w:val="5A62F26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02F41"/>
    <w:multiLevelType w:val="multilevel"/>
    <w:tmpl w:val="0930B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A9E46FF"/>
    <w:multiLevelType w:val="multilevel"/>
    <w:tmpl w:val="48463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978"/>
    <w:multiLevelType w:val="multilevel"/>
    <w:tmpl w:val="74A67232"/>
    <w:lvl w:ilvl="0"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506CA3"/>
    <w:multiLevelType w:val="multilevel"/>
    <w:tmpl w:val="F67482F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442914"/>
    <w:multiLevelType w:val="multilevel"/>
    <w:tmpl w:val="34A4D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D765D19"/>
    <w:multiLevelType w:val="multilevel"/>
    <w:tmpl w:val="9776323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24063F"/>
    <w:multiLevelType w:val="multilevel"/>
    <w:tmpl w:val="ABE88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B7751"/>
    <w:multiLevelType w:val="multilevel"/>
    <w:tmpl w:val="52F02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5138">
    <w:abstractNumId w:val="1"/>
  </w:num>
  <w:num w:numId="2" w16cid:durableId="1516924681">
    <w:abstractNumId w:val="5"/>
  </w:num>
  <w:num w:numId="3" w16cid:durableId="1880387794">
    <w:abstractNumId w:val="9"/>
  </w:num>
  <w:num w:numId="4" w16cid:durableId="2011986845">
    <w:abstractNumId w:val="2"/>
  </w:num>
  <w:num w:numId="5" w16cid:durableId="1850757951">
    <w:abstractNumId w:val="6"/>
  </w:num>
  <w:num w:numId="6" w16cid:durableId="870456648">
    <w:abstractNumId w:val="7"/>
  </w:num>
  <w:num w:numId="7" w16cid:durableId="969824958">
    <w:abstractNumId w:val="8"/>
  </w:num>
  <w:num w:numId="8" w16cid:durableId="704523466">
    <w:abstractNumId w:val="4"/>
  </w:num>
  <w:num w:numId="9" w16cid:durableId="281495643">
    <w:abstractNumId w:val="0"/>
  </w:num>
  <w:num w:numId="10" w16cid:durableId="179925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54"/>
    <w:rsid w:val="001674C7"/>
    <w:rsid w:val="00196003"/>
    <w:rsid w:val="002C3A80"/>
    <w:rsid w:val="0054626F"/>
    <w:rsid w:val="0057322A"/>
    <w:rsid w:val="006730C7"/>
    <w:rsid w:val="00690096"/>
    <w:rsid w:val="00706054"/>
    <w:rsid w:val="008B235A"/>
    <w:rsid w:val="008F3811"/>
    <w:rsid w:val="00A32F67"/>
    <w:rsid w:val="00AC7F40"/>
    <w:rsid w:val="00AD727A"/>
    <w:rsid w:val="00B70DE4"/>
    <w:rsid w:val="00ED1C84"/>
    <w:rsid w:val="00ED5CB5"/>
    <w:rsid w:val="00F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1277"/>
  <w15:docId w15:val="{87F652DC-0A93-460F-80AC-A7EBE22F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ED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sibeni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sit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Šime Meić</dc:creator>
  <cp:lastModifiedBy>Turistička zajednica grada Šibenika</cp:lastModifiedBy>
  <cp:revision>4</cp:revision>
  <dcterms:created xsi:type="dcterms:W3CDTF">2026-02-20T08:22:00Z</dcterms:created>
  <dcterms:modified xsi:type="dcterms:W3CDTF">2026-02-20T08:47:00Z</dcterms:modified>
</cp:coreProperties>
</file>